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0656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F65CE7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20A6B">
        <w:rPr>
          <w:rFonts w:ascii="Times New Roman" w:hAnsi="Times New Roman"/>
          <w:b/>
          <w:i/>
          <w:sz w:val="24"/>
          <w:szCs w:val="24"/>
          <w:lang w:val="uk-UA"/>
        </w:rPr>
        <w:t xml:space="preserve">Колінчасті вали тепловозів </w:t>
      </w:r>
      <w:r w:rsidR="00F65CE7">
        <w:rPr>
          <w:rFonts w:ascii="Times New Roman" w:hAnsi="Times New Roman"/>
          <w:b/>
          <w:i/>
          <w:sz w:val="24"/>
          <w:szCs w:val="24"/>
          <w:lang w:val="uk-UA"/>
        </w:rPr>
        <w:t>2ТЕ116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801A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20A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11852281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F20A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801A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01AD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шт</w:t>
      </w:r>
      <w:proofErr w:type="spell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F20A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14</w:t>
      </w:r>
      <w:r w:rsidR="0035546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F20A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F20A6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/03.06</w:t>
      </w:r>
      <w:r w:rsidR="00EA22E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F20A6B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F20A6B" w:rsidRDefault="00F20A6B" w:rsidP="00F2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"БЕРИСЛАВ РЕММАШ"</w:t>
            </w:r>
          </w:p>
        </w:tc>
        <w:tc>
          <w:tcPr>
            <w:tcW w:w="1840" w:type="dxa"/>
          </w:tcPr>
          <w:p w:rsidR="007844A4" w:rsidRPr="0055513C" w:rsidRDefault="00F20A6B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43179369</w:t>
            </w:r>
          </w:p>
        </w:tc>
        <w:tc>
          <w:tcPr>
            <w:tcW w:w="2643" w:type="dxa"/>
          </w:tcPr>
          <w:p w:rsidR="005F04CA" w:rsidRPr="00E55722" w:rsidRDefault="00F20A6B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27 072 000,00</w:t>
            </w:r>
          </w:p>
        </w:tc>
      </w:tr>
      <w:tr w:rsidR="008156D1" w:rsidRPr="0050323F" w:rsidTr="00EB467E">
        <w:trPr>
          <w:trHeight w:val="365"/>
        </w:trPr>
        <w:tc>
          <w:tcPr>
            <w:tcW w:w="869" w:type="dxa"/>
          </w:tcPr>
          <w:p w:rsidR="008156D1" w:rsidRDefault="008156D1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1" w:type="dxa"/>
          </w:tcPr>
          <w:p w:rsidR="008156D1" w:rsidRPr="00F20A6B" w:rsidRDefault="00F20A6B" w:rsidP="00F2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VJ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trgovina</w:t>
            </w:r>
            <w:proofErr w:type="spellEnd"/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storitve</w:t>
            </w:r>
            <w:proofErr w:type="spellEnd"/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o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o</w:t>
            </w: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0" w:type="dxa"/>
          </w:tcPr>
          <w:p w:rsidR="008156D1" w:rsidRPr="0055513C" w:rsidRDefault="00F20A6B" w:rsidP="00F2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6588387000</w:t>
            </w:r>
          </w:p>
        </w:tc>
        <w:tc>
          <w:tcPr>
            <w:tcW w:w="2643" w:type="dxa"/>
          </w:tcPr>
          <w:p w:rsidR="008156D1" w:rsidRPr="00E55722" w:rsidRDefault="00F20A6B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28 521 917,86</w:t>
            </w:r>
          </w:p>
        </w:tc>
      </w:tr>
      <w:tr w:rsidR="00F65CE7" w:rsidRPr="0050323F" w:rsidTr="00EB467E">
        <w:trPr>
          <w:trHeight w:val="365"/>
        </w:trPr>
        <w:tc>
          <w:tcPr>
            <w:tcW w:w="869" w:type="dxa"/>
          </w:tcPr>
          <w:p w:rsidR="00F65CE7" w:rsidRDefault="00F65CE7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F65CE7" w:rsidRPr="00F20A6B" w:rsidRDefault="00F20A6B" w:rsidP="00F2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F20A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ТОВ "АМОН ТРЕЙД"</w:t>
            </w:r>
          </w:p>
        </w:tc>
        <w:tc>
          <w:tcPr>
            <w:tcW w:w="1840" w:type="dxa"/>
          </w:tcPr>
          <w:p w:rsidR="00F65CE7" w:rsidRDefault="00F20A6B" w:rsidP="00F2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44059247</w:t>
            </w:r>
          </w:p>
        </w:tc>
        <w:tc>
          <w:tcPr>
            <w:tcW w:w="2643" w:type="dxa"/>
          </w:tcPr>
          <w:p w:rsidR="00F65CE7" w:rsidRDefault="00F20A6B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32 325 888,00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F20A6B" w:rsidRPr="00F20A6B" w:rsidRDefault="00F20A6B" w:rsidP="00F2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Пропозиція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ТОВ "БЕРИСЛАВ РЕММАШ" дискваліфікована як така, що  не відповідає вимогам закупівлі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(не погоджені умови договору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в частині умов постачання)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(Розд.5, п.5.1.9 ( Положення про проведення </w:t>
      </w:r>
      <w:proofErr w:type="spellStart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   товарів,   робіт  та послуг ПрАТ «ДТРЗ» Наказ 242 від 12.08.2019р)</w:t>
      </w:r>
      <w:r w:rsidR="00A12415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bookmarkStart w:id="3" w:name="_GoBack"/>
      <w:bookmarkEnd w:id="3"/>
    </w:p>
    <w:p w:rsidR="00F20A6B" w:rsidRPr="00F20A6B" w:rsidRDefault="00F20A6B" w:rsidP="00F2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Пропозиція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ТОВ " </w:t>
      </w:r>
      <w:r w:rsidRPr="00F20A6B">
        <w:rPr>
          <w:rFonts w:ascii="Times New Roman" w:hAnsi="Times New Roman"/>
          <w:b/>
          <w:color w:val="000000"/>
          <w:sz w:val="24"/>
          <w:szCs w:val="24"/>
        </w:rPr>
        <w:t>VJ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</w:rPr>
        <w:t>trgovina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b/>
          <w:color w:val="000000"/>
          <w:sz w:val="24"/>
          <w:szCs w:val="24"/>
        </w:rPr>
        <w:t>in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</w:rPr>
        <w:t>storitve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r w:rsidRPr="00F20A6B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F20A6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F20A6B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>."  дискваліфікована як така,</w:t>
      </w:r>
      <w:r w:rsidR="00031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>що не відповідає вимогам закупівлі  (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не погоджені умови договору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в частині умов постачання)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(Розд.5, п.5.1.9 ( Положення про проведення </w:t>
      </w:r>
      <w:proofErr w:type="spellStart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   товарів,   робіт  та послуг ПрАТ «ДТРЗ» Наказ 242 від 12.08.2019р).</w:t>
      </w:r>
    </w:p>
    <w:p w:rsidR="00F20A6B" w:rsidRPr="00F20A6B" w:rsidRDefault="00F20A6B" w:rsidP="00F2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Пропозиція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ТОВ " АМОН ТРЕЙД"  не відповідає вимогам закупівлі 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(перевищена сума, передбачена на фінансування  закупівлі)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(Розд.5, п.5.1.9 ( Положення про проведення </w:t>
      </w:r>
      <w:proofErr w:type="spellStart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   товарів,   робіт  та послуг ПрАТ «ДТРЗ» Наказ 242 від 12.08.2019р).</w:t>
      </w:r>
    </w:p>
    <w:p w:rsidR="00F20A6B" w:rsidRPr="00F20A6B" w:rsidRDefault="00F20A6B" w:rsidP="00F2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20A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 результатами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розгляду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пропозиції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всіх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дискваліфіковані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як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такі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що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не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відповідають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умовам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закупівлі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Торги не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відбулись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(Розд.5, п.5.1.11 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Положення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про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проведення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закупівель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товарі</w:t>
      </w:r>
      <w:proofErr w:type="gram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  </w:t>
      </w:r>
      <w:proofErr w:type="spellStart"/>
      <w:proofErr w:type="gram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роб</w:t>
      </w:r>
      <w:proofErr w:type="gram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іт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та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послуг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ПрАТ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«ДТРЗ» Наказ 242 </w:t>
      </w:r>
      <w:proofErr w:type="spellStart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>від</w:t>
      </w:r>
      <w:proofErr w:type="spellEnd"/>
      <w:r w:rsidRPr="00F20A6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12.08.2019р).</w:t>
      </w:r>
    </w:p>
    <w:p w:rsidR="00F20A6B" w:rsidRPr="00F20A6B" w:rsidRDefault="00F20A6B" w:rsidP="00F20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F20A6B" w:rsidRDefault="00F20A6B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185431" w:rsidP="00F20A6B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Начальник відділу організації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закупівель</w:t>
      </w:r>
      <w:proofErr w:type="spellEnd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="002F563F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1941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6F8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431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D5A"/>
    <w:rsid w:val="00344E0A"/>
    <w:rsid w:val="00353108"/>
    <w:rsid w:val="0035546D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3DE5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30BCE"/>
    <w:rsid w:val="00541FEF"/>
    <w:rsid w:val="00543B56"/>
    <w:rsid w:val="005444B5"/>
    <w:rsid w:val="0054681E"/>
    <w:rsid w:val="00550065"/>
    <w:rsid w:val="0055398D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220B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D6957"/>
    <w:rsid w:val="007E6481"/>
    <w:rsid w:val="007F1C8E"/>
    <w:rsid w:val="007F4353"/>
    <w:rsid w:val="00801ADA"/>
    <w:rsid w:val="00801D97"/>
    <w:rsid w:val="00802688"/>
    <w:rsid w:val="00803E34"/>
    <w:rsid w:val="00806189"/>
    <w:rsid w:val="00807302"/>
    <w:rsid w:val="00807CDF"/>
    <w:rsid w:val="00810576"/>
    <w:rsid w:val="008112E1"/>
    <w:rsid w:val="008156D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74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383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12415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024A"/>
    <w:rsid w:val="00AF3265"/>
    <w:rsid w:val="00AF7CB5"/>
    <w:rsid w:val="00B02BB5"/>
    <w:rsid w:val="00B123E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4E02"/>
    <w:rsid w:val="00E15ACE"/>
    <w:rsid w:val="00E215FF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2E8"/>
    <w:rsid w:val="00EA2E62"/>
    <w:rsid w:val="00EB0522"/>
    <w:rsid w:val="00EB0CF2"/>
    <w:rsid w:val="00EB3186"/>
    <w:rsid w:val="00EB467E"/>
    <w:rsid w:val="00EC2499"/>
    <w:rsid w:val="00ED19B0"/>
    <w:rsid w:val="00ED2955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0A6B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65CE7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34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4D5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C506-ACAB-4364-BEF2-27B684D9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345</cp:revision>
  <cp:lastPrinted>2021-06-07T12:36:00Z</cp:lastPrinted>
  <dcterms:created xsi:type="dcterms:W3CDTF">2019-07-16T10:35:00Z</dcterms:created>
  <dcterms:modified xsi:type="dcterms:W3CDTF">2021-06-07T12:41:00Z</dcterms:modified>
</cp:coreProperties>
</file>